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8545"/>
      </w:tblGrid>
      <w:tr w:rsidR="00CB54AD" w:rsidRPr="00153594" w:rsidTr="003851B4">
        <w:tc>
          <w:tcPr>
            <w:tcW w:w="1344" w:type="dxa"/>
            <w:shd w:val="clear" w:color="auto" w:fill="92D050"/>
          </w:tcPr>
          <w:p w:rsidR="007D7993" w:rsidRPr="00A51908" w:rsidRDefault="007D7993">
            <w:pPr>
              <w:rPr>
                <w:b/>
                <w:color w:val="FFFFFF" w:themeColor="background1"/>
              </w:rPr>
            </w:pPr>
            <w:r w:rsidRPr="00A51908">
              <w:rPr>
                <w:b/>
                <w:color w:val="FFFFFF" w:themeColor="background1"/>
              </w:rPr>
              <w:t>Titre</w:t>
            </w: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</w:tc>
        <w:tc>
          <w:tcPr>
            <w:tcW w:w="8545" w:type="dxa"/>
          </w:tcPr>
          <w:p w:rsidR="007D7993" w:rsidRPr="00147A2E" w:rsidRDefault="006F678E" w:rsidP="00147A2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</w:t>
            </w:r>
            <w:r w:rsidR="00147A2E" w:rsidRPr="00147A2E">
              <w:rPr>
                <w:b/>
                <w:sz w:val="24"/>
                <w:lang w:val="en-US"/>
              </w:rPr>
              <w:t xml:space="preserve">opulation genetics of </w:t>
            </w:r>
            <w:r>
              <w:rPr>
                <w:b/>
                <w:sz w:val="24"/>
                <w:lang w:val="en-US"/>
              </w:rPr>
              <w:t xml:space="preserve">endangered </w:t>
            </w:r>
            <w:r w:rsidR="00147A2E" w:rsidRPr="00147A2E">
              <w:rPr>
                <w:b/>
                <w:sz w:val="24"/>
                <w:lang w:val="en-US"/>
              </w:rPr>
              <w:t>Malagasy olives (</w:t>
            </w:r>
            <w:r w:rsidR="00147A2E" w:rsidRPr="00147A2E">
              <w:rPr>
                <w:b/>
                <w:i/>
                <w:sz w:val="24"/>
                <w:lang w:val="en-US"/>
              </w:rPr>
              <w:t>Noronhia</w:t>
            </w:r>
            <w:r w:rsidR="00147A2E" w:rsidRPr="00147A2E">
              <w:rPr>
                <w:b/>
                <w:sz w:val="24"/>
                <w:lang w:val="en-US"/>
              </w:rPr>
              <w:t>, Oleaceae) in a forest network from northern Madagascar</w:t>
            </w:r>
          </w:p>
        </w:tc>
      </w:tr>
      <w:tr w:rsidR="00CB54AD" w:rsidTr="003851B4">
        <w:tc>
          <w:tcPr>
            <w:tcW w:w="1344" w:type="dxa"/>
            <w:shd w:val="clear" w:color="auto" w:fill="92D050"/>
          </w:tcPr>
          <w:p w:rsidR="007D7993" w:rsidRPr="00A51908" w:rsidRDefault="007D7993">
            <w:pPr>
              <w:rPr>
                <w:b/>
                <w:color w:val="FFFFFF" w:themeColor="background1"/>
              </w:rPr>
            </w:pPr>
            <w:r w:rsidRPr="00A51908">
              <w:rPr>
                <w:b/>
                <w:color w:val="FFFFFF" w:themeColor="background1"/>
              </w:rPr>
              <w:t>Encadrant 1</w:t>
            </w: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  <w:r w:rsidRPr="00A51908">
              <w:rPr>
                <w:b/>
                <w:color w:val="FFFFFF" w:themeColor="background1"/>
              </w:rPr>
              <w:t>(tel + mail)</w:t>
            </w:r>
          </w:p>
        </w:tc>
        <w:tc>
          <w:tcPr>
            <w:tcW w:w="8545" w:type="dxa"/>
          </w:tcPr>
          <w:p w:rsidR="007D7993" w:rsidRDefault="00F220F5">
            <w:r>
              <w:t xml:space="preserve">Guillaume </w:t>
            </w:r>
            <w:r w:rsidR="00CA03D3">
              <w:t>BESNARD</w:t>
            </w:r>
          </w:p>
          <w:p w:rsidR="006F678E" w:rsidRPr="006F678E" w:rsidRDefault="006F678E" w:rsidP="00194B14">
            <w:pPr>
              <w:rPr>
                <w:rFonts w:cstheme="minorHAnsi"/>
              </w:rPr>
            </w:pPr>
            <w:r w:rsidRPr="006F678E">
              <w:rPr>
                <w:rFonts w:cstheme="minorHAnsi"/>
              </w:rPr>
              <w:t>0</w:t>
            </w:r>
            <w:r w:rsidRPr="006F678E">
              <w:rPr>
                <w:rFonts w:cstheme="minorHAnsi"/>
                <w:color w:val="000000"/>
                <w:szCs w:val="24"/>
                <w:lang w:val="da-DK"/>
              </w:rPr>
              <w:t>5 61 55 85 45</w:t>
            </w:r>
            <w:r w:rsidR="00FC5435">
              <w:rPr>
                <w:rFonts w:cstheme="minorHAnsi"/>
                <w:color w:val="000000"/>
                <w:szCs w:val="24"/>
                <w:lang w:val="da-DK"/>
              </w:rPr>
              <w:t> </w:t>
            </w:r>
            <w:r w:rsidRPr="006F678E">
              <w:rPr>
                <w:rFonts w:cstheme="minorHAnsi"/>
                <w:color w:val="000000"/>
                <w:szCs w:val="24"/>
                <w:lang w:val="da-DK"/>
              </w:rPr>
              <w:t xml:space="preserve">; </w:t>
            </w:r>
            <w:hyperlink r:id="rId6" w:history="1">
              <w:r w:rsidR="00194B14" w:rsidRPr="002137FB">
                <w:rPr>
                  <w:rStyle w:val="Hyperlink"/>
                  <w:rFonts w:cstheme="minorHAnsi"/>
                  <w:szCs w:val="24"/>
                  <w:lang w:val="da-DK"/>
                </w:rPr>
                <w:t>guillaume.besnard@univ-tlse3.fr</w:t>
              </w:r>
            </w:hyperlink>
          </w:p>
        </w:tc>
      </w:tr>
      <w:tr w:rsidR="00CB54AD" w:rsidRPr="00153594" w:rsidTr="003851B4">
        <w:tc>
          <w:tcPr>
            <w:tcW w:w="1344" w:type="dxa"/>
            <w:shd w:val="clear" w:color="auto" w:fill="92D050"/>
          </w:tcPr>
          <w:p w:rsidR="007D7993" w:rsidRPr="00A51908" w:rsidRDefault="007D7993">
            <w:pPr>
              <w:rPr>
                <w:b/>
                <w:color w:val="FFFFFF" w:themeColor="background1"/>
              </w:rPr>
            </w:pPr>
            <w:r w:rsidRPr="00A51908">
              <w:rPr>
                <w:b/>
                <w:color w:val="FFFFFF" w:themeColor="background1"/>
              </w:rPr>
              <w:t>Encadrant 2</w:t>
            </w: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  <w:r w:rsidRPr="00A51908">
              <w:rPr>
                <w:b/>
                <w:color w:val="FFFFFF" w:themeColor="background1"/>
              </w:rPr>
              <w:t>(tel + mail)</w:t>
            </w:r>
          </w:p>
        </w:tc>
        <w:tc>
          <w:tcPr>
            <w:tcW w:w="8545" w:type="dxa"/>
          </w:tcPr>
          <w:p w:rsidR="007D7993" w:rsidRPr="00FB60D0" w:rsidRDefault="00F220F5">
            <w:pPr>
              <w:rPr>
                <w:lang w:val="pt-PT"/>
              </w:rPr>
            </w:pPr>
            <w:r w:rsidRPr="00FB60D0">
              <w:rPr>
                <w:lang w:val="pt-PT"/>
              </w:rPr>
              <w:t xml:space="preserve">Jordi </w:t>
            </w:r>
            <w:r w:rsidR="00CA03D3" w:rsidRPr="00FB60D0">
              <w:rPr>
                <w:lang w:val="pt-PT"/>
              </w:rPr>
              <w:t>SALMONA</w:t>
            </w:r>
          </w:p>
          <w:p w:rsidR="006F678E" w:rsidRPr="00FB60D0" w:rsidRDefault="0069497A" w:rsidP="00194B14">
            <w:pPr>
              <w:rPr>
                <w:lang w:val="pt-PT"/>
              </w:rPr>
            </w:pPr>
            <w:hyperlink r:id="rId7" w:history="1">
              <w:r w:rsidR="00194B14" w:rsidRPr="002137FB">
                <w:rPr>
                  <w:rStyle w:val="Hyperlink"/>
                  <w:rFonts w:cstheme="minorHAnsi"/>
                  <w:szCs w:val="24"/>
                  <w:lang w:val="da-DK"/>
                </w:rPr>
                <w:t>jordi.salmona@gmail.com</w:t>
              </w:r>
            </w:hyperlink>
          </w:p>
        </w:tc>
      </w:tr>
      <w:tr w:rsidR="00CB54AD" w:rsidTr="003851B4">
        <w:trPr>
          <w:trHeight w:val="335"/>
        </w:trPr>
        <w:tc>
          <w:tcPr>
            <w:tcW w:w="1344" w:type="dxa"/>
            <w:shd w:val="clear" w:color="auto" w:fill="92D050"/>
          </w:tcPr>
          <w:p w:rsidR="007D7993" w:rsidRPr="00A51908" w:rsidRDefault="007D7993">
            <w:pPr>
              <w:rPr>
                <w:b/>
                <w:color w:val="FFFFFF" w:themeColor="background1"/>
              </w:rPr>
            </w:pPr>
            <w:r w:rsidRPr="00A51908">
              <w:rPr>
                <w:b/>
                <w:color w:val="FFFFFF" w:themeColor="background1"/>
              </w:rPr>
              <w:t>Equipe(s)</w:t>
            </w:r>
          </w:p>
        </w:tc>
        <w:tc>
          <w:tcPr>
            <w:tcW w:w="8545" w:type="dxa"/>
          </w:tcPr>
          <w:p w:rsidR="007D7993" w:rsidRDefault="00CA03D3" w:rsidP="00CA03D3">
            <w:r>
              <w:t xml:space="preserve">EDB, </w:t>
            </w:r>
            <w:r w:rsidR="00F220F5">
              <w:t>UMR</w:t>
            </w:r>
            <w:r>
              <w:t>-</w:t>
            </w:r>
            <w:r w:rsidR="00F220F5">
              <w:t>5174, équipe DEEP</w:t>
            </w:r>
            <w:r w:rsidR="00926C7A">
              <w:t>, UPS, Bâtiment 4R1</w:t>
            </w:r>
          </w:p>
        </w:tc>
      </w:tr>
      <w:tr w:rsidR="00CB54AD" w:rsidTr="003851B4">
        <w:trPr>
          <w:trHeight w:val="7855"/>
        </w:trPr>
        <w:tc>
          <w:tcPr>
            <w:tcW w:w="1344" w:type="dxa"/>
            <w:shd w:val="clear" w:color="auto" w:fill="92D050"/>
          </w:tcPr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  <w:r w:rsidRPr="00A51908">
              <w:rPr>
                <w:b/>
                <w:color w:val="FFFFFF" w:themeColor="background1"/>
              </w:rPr>
              <w:t>Résumé</w:t>
            </w: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</w:tc>
        <w:tc>
          <w:tcPr>
            <w:tcW w:w="8545" w:type="dxa"/>
          </w:tcPr>
          <w:p w:rsidR="00CB54AD" w:rsidRPr="00194B14" w:rsidRDefault="00F220F5" w:rsidP="00CB54AD">
            <w:pPr>
              <w:spacing w:before="120"/>
              <w:jc w:val="both"/>
              <w:rPr>
                <w:sz w:val="21"/>
                <w:szCs w:val="21"/>
              </w:rPr>
            </w:pPr>
            <w:r w:rsidRPr="00194B14">
              <w:rPr>
                <w:sz w:val="21"/>
                <w:szCs w:val="21"/>
              </w:rPr>
              <w:t xml:space="preserve">La biodiversité est inégalement répartie sur terre, </w:t>
            </w:r>
            <w:r w:rsidR="00CA03D3" w:rsidRPr="00194B14">
              <w:rPr>
                <w:sz w:val="21"/>
                <w:szCs w:val="21"/>
              </w:rPr>
              <w:t>et des régions de haute diversité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CA03D3" w:rsidRPr="00194B14">
              <w:rPr>
                <w:sz w:val="21"/>
                <w:szCs w:val="21"/>
              </w:rPr>
              <w:t>(appelé</w:t>
            </w:r>
            <w:r w:rsidR="006F678E" w:rsidRPr="00194B14">
              <w:rPr>
                <w:sz w:val="21"/>
                <w:szCs w:val="21"/>
              </w:rPr>
              <w:t>e</w:t>
            </w:r>
            <w:r w:rsidR="00CA03D3" w:rsidRPr="00194B14">
              <w:rPr>
                <w:sz w:val="21"/>
                <w:szCs w:val="21"/>
              </w:rPr>
              <w:t>s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CA03D3" w:rsidRPr="00194B14">
              <w:rPr>
                <w:sz w:val="21"/>
                <w:szCs w:val="21"/>
              </w:rPr>
              <w:t>couramment « </w:t>
            </w:r>
            <w:r w:rsidRPr="00194B14">
              <w:rPr>
                <w:sz w:val="21"/>
                <w:szCs w:val="21"/>
              </w:rPr>
              <w:t>hotspots</w:t>
            </w:r>
            <w:r w:rsidR="00CA03D3" w:rsidRPr="00194B14">
              <w:rPr>
                <w:sz w:val="21"/>
                <w:szCs w:val="21"/>
              </w:rPr>
              <w:t> »)</w:t>
            </w:r>
            <w:r w:rsidRPr="00194B14">
              <w:rPr>
                <w:sz w:val="21"/>
                <w:szCs w:val="21"/>
              </w:rPr>
              <w:t xml:space="preserve"> ont été répertorié</w:t>
            </w:r>
            <w:r w:rsidR="006F678E" w:rsidRPr="00194B14">
              <w:rPr>
                <w:sz w:val="21"/>
                <w:szCs w:val="21"/>
              </w:rPr>
              <w:t>e</w:t>
            </w:r>
            <w:r w:rsidRPr="00194B14">
              <w:rPr>
                <w:sz w:val="21"/>
                <w:szCs w:val="21"/>
              </w:rPr>
              <w:t xml:space="preserve">s, notamment </w:t>
            </w:r>
            <w:r w:rsidR="006F678E" w:rsidRPr="00194B14">
              <w:rPr>
                <w:sz w:val="21"/>
                <w:szCs w:val="21"/>
              </w:rPr>
              <w:t>sur les tropiques</w:t>
            </w:r>
            <w:r w:rsidRPr="00194B14">
              <w:rPr>
                <w:sz w:val="21"/>
                <w:szCs w:val="21"/>
              </w:rPr>
              <w:t xml:space="preserve"> comme par exemple à Madagascar</w:t>
            </w:r>
            <w:r w:rsidR="00DA6AFF" w:rsidRPr="00194B14">
              <w:rPr>
                <w:sz w:val="21"/>
                <w:szCs w:val="21"/>
              </w:rPr>
              <w:t xml:space="preserve"> (Myers </w:t>
            </w:r>
            <w:r w:rsidR="00DA6AFF" w:rsidRPr="00194B14">
              <w:rPr>
                <w:i/>
                <w:sz w:val="21"/>
                <w:szCs w:val="21"/>
              </w:rPr>
              <w:t>et al.</w:t>
            </w:r>
            <w:r w:rsidR="00DA6AFF" w:rsidRPr="00194B14">
              <w:rPr>
                <w:sz w:val="21"/>
                <w:szCs w:val="21"/>
              </w:rPr>
              <w:t xml:space="preserve"> 2001)</w:t>
            </w:r>
            <w:r w:rsidRPr="00194B14">
              <w:rPr>
                <w:sz w:val="21"/>
                <w:szCs w:val="21"/>
              </w:rPr>
              <w:t>. L’augmentation des activités humaines ainsi que les changements globaux mettent cependant en péril de nombreux écosystèmes de ces régions</w:t>
            </w:r>
            <w:r w:rsidR="006F678E" w:rsidRPr="00194B14">
              <w:rPr>
                <w:sz w:val="21"/>
                <w:szCs w:val="21"/>
              </w:rPr>
              <w:t xml:space="preserve"> où</w:t>
            </w:r>
            <w:r w:rsidRPr="00194B14">
              <w:rPr>
                <w:sz w:val="21"/>
                <w:szCs w:val="21"/>
              </w:rPr>
              <w:t xml:space="preserve"> les enjeux de conservation sont immenses. Dans ce contexte, nous avons récemment obtenu un financement </w:t>
            </w:r>
            <w:r w:rsidR="00CA03D3" w:rsidRPr="00194B14">
              <w:rPr>
                <w:sz w:val="21"/>
                <w:szCs w:val="21"/>
              </w:rPr>
              <w:t xml:space="preserve">européen </w:t>
            </w:r>
            <w:r w:rsidR="007D695F" w:rsidRPr="00194B14">
              <w:rPr>
                <w:rFonts w:cstheme="minorHAnsi"/>
                <w:sz w:val="21"/>
                <w:szCs w:val="21"/>
              </w:rPr>
              <w:t xml:space="preserve">BiodivERsA </w:t>
            </w:r>
            <w:r w:rsidRPr="00194B14">
              <w:rPr>
                <w:sz w:val="21"/>
                <w:szCs w:val="21"/>
              </w:rPr>
              <w:t>(Era</w:t>
            </w:r>
            <w:r w:rsidR="00AF5B13" w:rsidRPr="00194B14">
              <w:rPr>
                <w:sz w:val="21"/>
                <w:szCs w:val="21"/>
              </w:rPr>
              <w:t>-</w:t>
            </w:r>
            <w:r w:rsidR="00CA03D3" w:rsidRPr="00194B14">
              <w:rPr>
                <w:sz w:val="21"/>
                <w:szCs w:val="21"/>
              </w:rPr>
              <w:t>N</w:t>
            </w:r>
            <w:r w:rsidRPr="00194B14">
              <w:rPr>
                <w:sz w:val="21"/>
                <w:szCs w:val="21"/>
              </w:rPr>
              <w:t xml:space="preserve">et INFRAGECO) pour étudier la démographie passée </w:t>
            </w:r>
            <w:r w:rsidR="00D34B52" w:rsidRPr="00194B14">
              <w:rPr>
                <w:sz w:val="21"/>
                <w:szCs w:val="21"/>
              </w:rPr>
              <w:t xml:space="preserve">récente </w:t>
            </w:r>
            <w:r w:rsidRPr="00194B14">
              <w:rPr>
                <w:sz w:val="21"/>
                <w:szCs w:val="21"/>
              </w:rPr>
              <w:t xml:space="preserve">et future de diverses espèces </w:t>
            </w:r>
            <w:r w:rsidR="00CA03D3" w:rsidRPr="00194B14">
              <w:rPr>
                <w:sz w:val="21"/>
                <w:szCs w:val="21"/>
              </w:rPr>
              <w:t xml:space="preserve">forestières </w:t>
            </w:r>
            <w:r w:rsidR="00262CBC" w:rsidRPr="00194B14">
              <w:rPr>
                <w:sz w:val="21"/>
                <w:szCs w:val="21"/>
              </w:rPr>
              <w:t xml:space="preserve">menacées </w:t>
            </w:r>
            <w:r w:rsidRPr="00194B14">
              <w:rPr>
                <w:sz w:val="21"/>
                <w:szCs w:val="21"/>
              </w:rPr>
              <w:t>dans la région de la Loke-Manambato</w:t>
            </w:r>
            <w:r w:rsidR="00262CBC" w:rsidRPr="00194B14">
              <w:rPr>
                <w:sz w:val="21"/>
                <w:szCs w:val="21"/>
              </w:rPr>
              <w:t xml:space="preserve"> (Daraina)</w:t>
            </w:r>
            <w:r w:rsidRPr="00194B14">
              <w:rPr>
                <w:sz w:val="21"/>
                <w:szCs w:val="21"/>
              </w:rPr>
              <w:t>. Cette région est caractérisée par une mosaïque de forêts (sèches et humides)</w:t>
            </w:r>
            <w:r w:rsidR="00CA03D3" w:rsidRPr="00194B14">
              <w:rPr>
                <w:sz w:val="21"/>
                <w:szCs w:val="21"/>
              </w:rPr>
              <w:t xml:space="preserve"> et de milieux ouverts (savanes). Bien que les forêts fassent l’objet d’actions de protection, diverses activités humaines (i.e., coupes de bois illicites, culture sur brulis et exploitation minière) menacent leur fonctionnement</w:t>
            </w:r>
            <w:r w:rsidR="000524AB" w:rsidRPr="00194B14">
              <w:rPr>
                <w:sz w:val="21"/>
                <w:szCs w:val="21"/>
              </w:rPr>
              <w:t xml:space="preserve"> et il est nécessaire</w:t>
            </w:r>
            <w:r w:rsidR="00147A2E" w:rsidRPr="00194B14">
              <w:rPr>
                <w:sz w:val="21"/>
                <w:szCs w:val="21"/>
              </w:rPr>
              <w:t xml:space="preserve"> de</w:t>
            </w:r>
            <w:r w:rsidR="000524AB" w:rsidRPr="00194B14">
              <w:rPr>
                <w:sz w:val="21"/>
                <w:szCs w:val="21"/>
              </w:rPr>
              <w:t xml:space="preserve"> bien comprendre la dynamique démographique des espèces présentes pour une gestion optimale</w:t>
            </w:r>
            <w:r w:rsidR="00147A2E" w:rsidRPr="00194B14">
              <w:rPr>
                <w:sz w:val="21"/>
                <w:szCs w:val="21"/>
              </w:rPr>
              <w:t xml:space="preserve"> de ces habitats</w:t>
            </w:r>
            <w:r w:rsidR="00CA03D3" w:rsidRPr="00194B14">
              <w:rPr>
                <w:sz w:val="21"/>
                <w:szCs w:val="21"/>
              </w:rPr>
              <w:t xml:space="preserve">. </w:t>
            </w:r>
          </w:p>
          <w:p w:rsidR="007D7993" w:rsidRPr="00CB54AD" w:rsidRDefault="00CA03D3" w:rsidP="00CB54AD">
            <w:pPr>
              <w:spacing w:before="120" w:after="120"/>
              <w:ind w:firstLine="357"/>
              <w:jc w:val="both"/>
            </w:pPr>
            <w:r w:rsidRPr="00194B14">
              <w:rPr>
                <w:sz w:val="21"/>
                <w:szCs w:val="21"/>
              </w:rPr>
              <w:t>A EDB, nous sommes impliqués dans l’étude de l’olivier malgache (</w:t>
            </w:r>
            <w:r w:rsidRPr="00194B14">
              <w:rPr>
                <w:i/>
                <w:sz w:val="21"/>
                <w:szCs w:val="21"/>
              </w:rPr>
              <w:t>Noronhia</w:t>
            </w:r>
            <w:r w:rsidRPr="00194B14">
              <w:rPr>
                <w:sz w:val="21"/>
                <w:szCs w:val="21"/>
              </w:rPr>
              <w:t>, Oleaceae</w:t>
            </w:r>
            <w:r w:rsidR="00CB54AD" w:rsidRPr="00194B14">
              <w:rPr>
                <w:sz w:val="21"/>
                <w:szCs w:val="21"/>
              </w:rPr>
              <w:t> ; Fig. 1</w:t>
            </w:r>
            <w:r w:rsidRPr="00194B14">
              <w:rPr>
                <w:sz w:val="21"/>
                <w:szCs w:val="21"/>
              </w:rPr>
              <w:t>), une lignée endémique d’arbres hautement diversifiée dans le Nord de Madagascar</w:t>
            </w:r>
            <w:r w:rsidR="00DA6AFF" w:rsidRPr="00194B14">
              <w:rPr>
                <w:sz w:val="21"/>
                <w:szCs w:val="21"/>
              </w:rPr>
              <w:t xml:space="preserve"> (Hong-Wa</w:t>
            </w:r>
            <w:r w:rsidR="000524AB" w:rsidRPr="00194B14">
              <w:rPr>
                <w:sz w:val="21"/>
                <w:szCs w:val="21"/>
              </w:rPr>
              <w:t>,</w:t>
            </w:r>
            <w:r w:rsidR="00DA6AFF" w:rsidRPr="00194B14">
              <w:rPr>
                <w:sz w:val="21"/>
                <w:szCs w:val="21"/>
              </w:rPr>
              <w:t xml:space="preserve"> 2016)</w:t>
            </w:r>
            <w:r w:rsidRPr="00194B14">
              <w:rPr>
                <w:sz w:val="21"/>
                <w:szCs w:val="21"/>
              </w:rPr>
              <w:t xml:space="preserve">. Plus de 30 espèces </w:t>
            </w:r>
            <w:r w:rsidR="00045D89" w:rsidRPr="00194B14">
              <w:rPr>
                <w:sz w:val="21"/>
                <w:szCs w:val="21"/>
              </w:rPr>
              <w:t xml:space="preserve">de </w:t>
            </w:r>
            <w:r w:rsidR="00045D89" w:rsidRPr="00194B14">
              <w:rPr>
                <w:i/>
                <w:sz w:val="21"/>
                <w:szCs w:val="21"/>
              </w:rPr>
              <w:t>Noronhia</w:t>
            </w:r>
            <w:r w:rsidR="00CB54AD" w:rsidRPr="00194B14">
              <w:rPr>
                <w:i/>
                <w:sz w:val="21"/>
                <w:szCs w:val="21"/>
              </w:rPr>
              <w:t xml:space="preserve"> </w:t>
            </w:r>
            <w:r w:rsidRPr="00194B14">
              <w:rPr>
                <w:sz w:val="21"/>
                <w:szCs w:val="21"/>
              </w:rPr>
              <w:t xml:space="preserve">ont été </w:t>
            </w:r>
            <w:r w:rsidR="00D34B52" w:rsidRPr="00194B14">
              <w:rPr>
                <w:sz w:val="21"/>
                <w:szCs w:val="21"/>
              </w:rPr>
              <w:t xml:space="preserve">récemment </w:t>
            </w:r>
            <w:r w:rsidRPr="00194B14">
              <w:rPr>
                <w:sz w:val="21"/>
                <w:szCs w:val="21"/>
              </w:rPr>
              <w:t>collecté</w:t>
            </w:r>
            <w:r w:rsidR="00D34B52" w:rsidRPr="00194B14">
              <w:rPr>
                <w:sz w:val="21"/>
                <w:szCs w:val="21"/>
              </w:rPr>
              <w:t>e</w:t>
            </w:r>
            <w:r w:rsidRPr="00194B14">
              <w:rPr>
                <w:sz w:val="21"/>
                <w:szCs w:val="21"/>
              </w:rPr>
              <w:t xml:space="preserve">s dans un réseau </w:t>
            </w:r>
            <w:r w:rsidR="0008218D" w:rsidRPr="00194B14">
              <w:rPr>
                <w:sz w:val="21"/>
                <w:szCs w:val="21"/>
              </w:rPr>
              <w:t>de 11</w:t>
            </w:r>
            <w:r w:rsidRPr="00194B14">
              <w:rPr>
                <w:sz w:val="21"/>
                <w:szCs w:val="21"/>
              </w:rPr>
              <w:t xml:space="preserve"> fragments forestiers</w:t>
            </w:r>
            <w:r w:rsidR="00CB54AD" w:rsidRPr="00194B14">
              <w:rPr>
                <w:sz w:val="21"/>
                <w:szCs w:val="21"/>
              </w:rPr>
              <w:t xml:space="preserve"> (Fig. 2)</w:t>
            </w:r>
            <w:r w:rsidRPr="00194B14">
              <w:rPr>
                <w:sz w:val="21"/>
                <w:szCs w:val="21"/>
              </w:rPr>
              <w:t xml:space="preserve">. </w:t>
            </w:r>
            <w:r w:rsidR="00262CBC" w:rsidRPr="00194B14">
              <w:rPr>
                <w:sz w:val="21"/>
                <w:szCs w:val="21"/>
              </w:rPr>
              <w:t>N</w:t>
            </w:r>
            <w:r w:rsidRPr="00194B14">
              <w:rPr>
                <w:sz w:val="21"/>
                <w:szCs w:val="21"/>
              </w:rPr>
              <w:t xml:space="preserve">ous </w:t>
            </w:r>
            <w:r w:rsidR="00262CBC" w:rsidRPr="00194B14">
              <w:rPr>
                <w:sz w:val="21"/>
                <w:szCs w:val="21"/>
              </w:rPr>
              <w:t>proposons d’</w:t>
            </w:r>
            <w:r w:rsidRPr="00194B14">
              <w:rPr>
                <w:sz w:val="21"/>
                <w:szCs w:val="21"/>
              </w:rPr>
              <w:t>analyser</w:t>
            </w:r>
            <w:r w:rsidR="00045D89" w:rsidRPr="00194B14">
              <w:rPr>
                <w:sz w:val="21"/>
                <w:szCs w:val="21"/>
              </w:rPr>
              <w:t xml:space="preserve"> la structur</w:t>
            </w:r>
            <w:r w:rsidR="00262CBC" w:rsidRPr="00194B14">
              <w:rPr>
                <w:sz w:val="21"/>
                <w:szCs w:val="21"/>
              </w:rPr>
              <w:t>e</w:t>
            </w:r>
            <w:r w:rsidR="00045D89" w:rsidRPr="00194B14">
              <w:rPr>
                <w:sz w:val="21"/>
                <w:szCs w:val="21"/>
              </w:rPr>
              <w:t xml:space="preserve"> de la diversité génétique pour </w:t>
            </w:r>
            <w:r w:rsidR="006315DC" w:rsidRPr="00194B14">
              <w:rPr>
                <w:sz w:val="21"/>
                <w:szCs w:val="21"/>
              </w:rPr>
              <w:t>identifier</w:t>
            </w:r>
            <w:r w:rsidR="00045D89" w:rsidRPr="00194B14">
              <w:rPr>
                <w:sz w:val="21"/>
                <w:szCs w:val="21"/>
              </w:rPr>
              <w:t xml:space="preserve"> les facteurs </w:t>
            </w:r>
            <w:r w:rsidR="0008218D" w:rsidRPr="00194B14">
              <w:rPr>
                <w:sz w:val="21"/>
                <w:szCs w:val="21"/>
              </w:rPr>
              <w:t>environnementaux (e.g., distance, topographie, savanes, cours d’eau</w:t>
            </w:r>
            <w:r w:rsidR="00CB54AD" w:rsidRPr="00194B14">
              <w:rPr>
                <w:sz w:val="21"/>
                <w:szCs w:val="21"/>
              </w:rPr>
              <w:t xml:space="preserve"> et</w:t>
            </w:r>
            <w:r w:rsidR="00FB60D0" w:rsidRPr="00194B14">
              <w:rPr>
                <w:sz w:val="21"/>
                <w:szCs w:val="21"/>
              </w:rPr>
              <w:t xml:space="preserve"> ripisylves</w:t>
            </w:r>
            <w:r w:rsidR="0008218D" w:rsidRPr="00194B14">
              <w:rPr>
                <w:sz w:val="21"/>
                <w:szCs w:val="21"/>
              </w:rPr>
              <w:t xml:space="preserve">) </w:t>
            </w:r>
            <w:r w:rsidR="00045D89" w:rsidRPr="00194B14">
              <w:rPr>
                <w:sz w:val="21"/>
                <w:szCs w:val="21"/>
              </w:rPr>
              <w:t xml:space="preserve">limitant </w:t>
            </w:r>
            <w:r w:rsidR="00FB60D0" w:rsidRPr="00194B14">
              <w:rPr>
                <w:sz w:val="21"/>
                <w:szCs w:val="21"/>
              </w:rPr>
              <w:t xml:space="preserve">ou favorisant </w:t>
            </w:r>
            <w:r w:rsidR="00045D89" w:rsidRPr="00194B14">
              <w:rPr>
                <w:sz w:val="21"/>
                <w:szCs w:val="21"/>
              </w:rPr>
              <w:t xml:space="preserve">les flux de gènes entre patches forestiers. </w:t>
            </w:r>
            <w:r w:rsidR="00262CBC" w:rsidRPr="00194B14">
              <w:rPr>
                <w:sz w:val="21"/>
                <w:szCs w:val="21"/>
              </w:rPr>
              <w:t>D</w:t>
            </w:r>
            <w:r w:rsidR="00045D89" w:rsidRPr="00194B14">
              <w:rPr>
                <w:sz w:val="21"/>
                <w:szCs w:val="21"/>
              </w:rPr>
              <w:t xml:space="preserve">es données </w:t>
            </w:r>
            <w:r w:rsidR="00ED1E27" w:rsidRPr="00194B14">
              <w:rPr>
                <w:sz w:val="21"/>
                <w:szCs w:val="21"/>
              </w:rPr>
              <w:t>génomiques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53098A" w:rsidRPr="00194B14">
              <w:rPr>
                <w:sz w:val="21"/>
                <w:szCs w:val="21"/>
              </w:rPr>
              <w:t>(</w:t>
            </w:r>
            <w:r w:rsidR="00045D89" w:rsidRPr="00194B14">
              <w:rPr>
                <w:sz w:val="21"/>
                <w:szCs w:val="21"/>
              </w:rPr>
              <w:t>RAD-Seq</w:t>
            </w:r>
            <w:r w:rsidR="0053098A" w:rsidRPr="00194B14">
              <w:rPr>
                <w:sz w:val="21"/>
                <w:szCs w:val="21"/>
              </w:rPr>
              <w:t>)</w:t>
            </w:r>
            <w:r w:rsidR="00045D89" w:rsidRPr="00194B14">
              <w:rPr>
                <w:sz w:val="21"/>
                <w:szCs w:val="21"/>
              </w:rPr>
              <w:t xml:space="preserve"> seront générées </w:t>
            </w:r>
            <w:r w:rsidR="00ED1E27" w:rsidRPr="00194B14">
              <w:rPr>
                <w:sz w:val="21"/>
                <w:szCs w:val="21"/>
              </w:rPr>
              <w:t>en amont du travail de l’étudiant</w:t>
            </w:r>
            <w:r w:rsidR="00262CBC" w:rsidRPr="00194B14">
              <w:rPr>
                <w:sz w:val="21"/>
                <w:szCs w:val="21"/>
              </w:rPr>
              <w:t xml:space="preserve"> sur au moins </w:t>
            </w:r>
            <w:r w:rsidR="001F4846" w:rsidRPr="00194B14">
              <w:rPr>
                <w:sz w:val="21"/>
                <w:szCs w:val="21"/>
              </w:rPr>
              <w:t>une</w:t>
            </w:r>
            <w:r w:rsidR="00262CBC" w:rsidRPr="00194B14">
              <w:rPr>
                <w:sz w:val="21"/>
                <w:szCs w:val="21"/>
              </w:rPr>
              <w:t xml:space="preserve"> espèce (</w:t>
            </w:r>
            <w:r w:rsidR="001F4846" w:rsidRPr="00194B14">
              <w:rPr>
                <w:sz w:val="21"/>
                <w:szCs w:val="21"/>
              </w:rPr>
              <w:t>e.g</w:t>
            </w:r>
            <w:r w:rsidR="0008218D" w:rsidRPr="00194B14">
              <w:rPr>
                <w:sz w:val="21"/>
                <w:szCs w:val="21"/>
              </w:rPr>
              <w:t>.,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262CBC" w:rsidRPr="00194B14">
              <w:rPr>
                <w:i/>
                <w:sz w:val="21"/>
                <w:szCs w:val="21"/>
              </w:rPr>
              <w:t>N. spinifolia</w:t>
            </w:r>
            <w:r w:rsidR="00262CBC" w:rsidRPr="00194B14">
              <w:rPr>
                <w:sz w:val="21"/>
                <w:szCs w:val="21"/>
              </w:rPr>
              <w:t xml:space="preserve">, </w:t>
            </w:r>
            <w:r w:rsidR="00262CBC" w:rsidRPr="00194B14">
              <w:rPr>
                <w:i/>
                <w:sz w:val="21"/>
                <w:szCs w:val="21"/>
              </w:rPr>
              <w:t>N. ankaranensis</w:t>
            </w:r>
            <w:r w:rsidR="00262CBC" w:rsidRPr="00194B14">
              <w:rPr>
                <w:sz w:val="21"/>
                <w:szCs w:val="21"/>
              </w:rPr>
              <w:t>, et</w:t>
            </w:r>
            <w:r w:rsidR="006F678E" w:rsidRPr="00194B14">
              <w:rPr>
                <w:sz w:val="21"/>
                <w:szCs w:val="21"/>
              </w:rPr>
              <w:t>/où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08218D" w:rsidRPr="00194B14">
              <w:rPr>
                <w:i/>
                <w:sz w:val="21"/>
                <w:szCs w:val="21"/>
              </w:rPr>
              <w:t>N. </w:t>
            </w:r>
            <w:r w:rsidR="00262CBC" w:rsidRPr="00194B14">
              <w:rPr>
                <w:i/>
                <w:sz w:val="21"/>
                <w:szCs w:val="21"/>
              </w:rPr>
              <w:t>pervilleana</w:t>
            </w:r>
            <w:r w:rsidR="00262CBC" w:rsidRPr="00194B14">
              <w:rPr>
                <w:sz w:val="21"/>
                <w:szCs w:val="21"/>
              </w:rPr>
              <w:t>) largement répartie sur l’aire d’étude</w:t>
            </w:r>
            <w:r w:rsidR="00045D89" w:rsidRPr="00194B14">
              <w:rPr>
                <w:sz w:val="21"/>
                <w:szCs w:val="21"/>
              </w:rPr>
              <w:t xml:space="preserve">. </w:t>
            </w:r>
            <w:r w:rsidR="0008218D" w:rsidRPr="00194B14">
              <w:rPr>
                <w:sz w:val="21"/>
                <w:szCs w:val="21"/>
              </w:rPr>
              <w:t xml:space="preserve">Les données cytoplasmiques et nucléaires (transmission maternelle vs. biparentale) permettront de comparer la contribution relative des graines et du pollen dans les flux de gènes. </w:t>
            </w:r>
            <w:r w:rsidR="00045D89" w:rsidRPr="00194B14">
              <w:rPr>
                <w:sz w:val="21"/>
                <w:szCs w:val="21"/>
              </w:rPr>
              <w:t xml:space="preserve">La </w:t>
            </w:r>
            <w:r w:rsidR="00262CBC" w:rsidRPr="00194B14">
              <w:rPr>
                <w:sz w:val="21"/>
                <w:szCs w:val="21"/>
              </w:rPr>
              <w:t xml:space="preserve">structure de la </w:t>
            </w:r>
            <w:r w:rsidR="00045D89" w:rsidRPr="00194B14">
              <w:rPr>
                <w:sz w:val="21"/>
                <w:szCs w:val="21"/>
              </w:rPr>
              <w:t xml:space="preserve">diversité génétique </w:t>
            </w:r>
            <w:r w:rsidR="00ED1E27" w:rsidRPr="00194B14">
              <w:rPr>
                <w:sz w:val="21"/>
                <w:szCs w:val="21"/>
              </w:rPr>
              <w:t>fera dans un premier temps l’objet d’une analyse descriptive</w:t>
            </w:r>
            <w:r w:rsidR="001F4846" w:rsidRPr="00194B14">
              <w:rPr>
                <w:sz w:val="21"/>
                <w:szCs w:val="21"/>
              </w:rPr>
              <w:t>. D</w:t>
            </w:r>
            <w:r w:rsidR="00045D89" w:rsidRPr="00194B14">
              <w:rPr>
                <w:sz w:val="21"/>
                <w:szCs w:val="21"/>
              </w:rPr>
              <w:t xml:space="preserve">es méthodes de génétique du paysage </w:t>
            </w:r>
            <w:r w:rsidR="0053098A" w:rsidRPr="00194B14">
              <w:rPr>
                <w:sz w:val="21"/>
                <w:szCs w:val="21"/>
              </w:rPr>
              <w:t>utilisant le chemin de moindre coût et la théorie des circuits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045D89" w:rsidRPr="00194B14">
              <w:rPr>
                <w:sz w:val="21"/>
                <w:szCs w:val="21"/>
              </w:rPr>
              <w:t xml:space="preserve">permettront </w:t>
            </w:r>
            <w:r w:rsidR="0008218D" w:rsidRPr="00194B14">
              <w:rPr>
                <w:sz w:val="21"/>
                <w:szCs w:val="21"/>
              </w:rPr>
              <w:t xml:space="preserve">ensuite </w:t>
            </w:r>
            <w:r w:rsidR="00045D89" w:rsidRPr="00194B14">
              <w:rPr>
                <w:sz w:val="21"/>
                <w:szCs w:val="21"/>
              </w:rPr>
              <w:t xml:space="preserve">de tester l’impact de </w:t>
            </w:r>
            <w:r w:rsidR="0053098A" w:rsidRPr="00194B14">
              <w:rPr>
                <w:sz w:val="21"/>
                <w:szCs w:val="21"/>
              </w:rPr>
              <w:t>chacune des composantes paysagères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045D89" w:rsidRPr="00194B14">
              <w:rPr>
                <w:sz w:val="21"/>
                <w:szCs w:val="21"/>
              </w:rPr>
              <w:t xml:space="preserve">sur </w:t>
            </w:r>
            <w:r w:rsidR="0053098A" w:rsidRPr="00194B14">
              <w:rPr>
                <w:sz w:val="21"/>
                <w:szCs w:val="21"/>
              </w:rPr>
              <w:t>le</w:t>
            </w:r>
            <w:r w:rsidR="00045D89" w:rsidRPr="00194B14">
              <w:rPr>
                <w:sz w:val="21"/>
                <w:szCs w:val="21"/>
              </w:rPr>
              <w:t xml:space="preserve"> flux de gènes. </w:t>
            </w:r>
            <w:r w:rsidR="0008218D" w:rsidRPr="00194B14">
              <w:rPr>
                <w:sz w:val="21"/>
                <w:szCs w:val="21"/>
              </w:rPr>
              <w:t>A terme, c</w:t>
            </w:r>
            <w:r w:rsidR="00045D89" w:rsidRPr="00194B14">
              <w:rPr>
                <w:sz w:val="21"/>
                <w:szCs w:val="21"/>
              </w:rPr>
              <w:t>e travail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53098A" w:rsidRPr="00194B14">
              <w:rPr>
                <w:sz w:val="21"/>
                <w:szCs w:val="21"/>
              </w:rPr>
              <w:t>pourrait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ED1E27" w:rsidRPr="00194B14">
              <w:rPr>
                <w:sz w:val="21"/>
                <w:szCs w:val="21"/>
              </w:rPr>
              <w:t xml:space="preserve">être complémenter par </w:t>
            </w:r>
            <w:r w:rsidR="00045D89" w:rsidRPr="00194B14">
              <w:rPr>
                <w:sz w:val="21"/>
                <w:szCs w:val="21"/>
              </w:rPr>
              <w:t>des analyses démographiques comme cela a déjà été mené sur</w:t>
            </w:r>
            <w:r w:rsidR="00DA6AFF" w:rsidRPr="00194B14">
              <w:rPr>
                <w:sz w:val="21"/>
                <w:szCs w:val="21"/>
              </w:rPr>
              <w:t xml:space="preserve"> des espèces animales (i.e. lémurien</w:t>
            </w:r>
            <w:r w:rsidR="00045D89" w:rsidRPr="00194B14">
              <w:rPr>
                <w:sz w:val="21"/>
                <w:szCs w:val="21"/>
              </w:rPr>
              <w:t>s ; Quéméré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045D89" w:rsidRPr="00194B14">
              <w:rPr>
                <w:i/>
                <w:sz w:val="21"/>
                <w:szCs w:val="21"/>
              </w:rPr>
              <w:t>et al.</w:t>
            </w:r>
            <w:r w:rsidR="00045D89" w:rsidRPr="00194B14">
              <w:rPr>
                <w:sz w:val="21"/>
                <w:szCs w:val="21"/>
              </w:rPr>
              <w:t xml:space="preserve"> 2012 ; Salmona </w:t>
            </w:r>
            <w:r w:rsidR="00045D89" w:rsidRPr="00194B14">
              <w:rPr>
                <w:i/>
                <w:sz w:val="21"/>
                <w:szCs w:val="21"/>
              </w:rPr>
              <w:t>et al.</w:t>
            </w:r>
            <w:r w:rsidR="00045D89" w:rsidRPr="00194B14">
              <w:rPr>
                <w:sz w:val="21"/>
                <w:szCs w:val="21"/>
              </w:rPr>
              <w:t xml:space="preserve"> 2017).</w:t>
            </w:r>
            <w:r w:rsidR="00CB54AD" w:rsidRPr="00194B14">
              <w:rPr>
                <w:sz w:val="21"/>
                <w:szCs w:val="21"/>
              </w:rPr>
              <w:t xml:space="preserve"> </w:t>
            </w:r>
            <w:r w:rsidR="000524AB" w:rsidRPr="00194B14">
              <w:rPr>
                <w:sz w:val="21"/>
                <w:szCs w:val="21"/>
              </w:rPr>
              <w:t xml:space="preserve">L’étudiant devra faire preuve </w:t>
            </w:r>
            <w:r w:rsidR="00147A2E" w:rsidRPr="00194B14">
              <w:rPr>
                <w:sz w:val="21"/>
                <w:szCs w:val="21"/>
              </w:rPr>
              <w:t xml:space="preserve">d’indépendance </w:t>
            </w:r>
            <w:r w:rsidR="0053098A" w:rsidRPr="00194B14">
              <w:rPr>
                <w:sz w:val="21"/>
                <w:szCs w:val="21"/>
              </w:rPr>
              <w:t xml:space="preserve">avoir des connaissances préalables en langage R et Bash de </w:t>
            </w:r>
            <w:r w:rsidR="00147A2E" w:rsidRPr="00194B14">
              <w:rPr>
                <w:sz w:val="21"/>
                <w:szCs w:val="21"/>
              </w:rPr>
              <w:t xml:space="preserve">avoir un gout pour </w:t>
            </w:r>
            <w:r w:rsidR="00CB54AD" w:rsidRPr="00194B14">
              <w:rPr>
                <w:sz w:val="21"/>
                <w:szCs w:val="21"/>
              </w:rPr>
              <w:t xml:space="preserve">la </w:t>
            </w:r>
            <w:r w:rsidR="0053098A" w:rsidRPr="00194B14">
              <w:rPr>
                <w:sz w:val="21"/>
                <w:szCs w:val="21"/>
              </w:rPr>
              <w:t>génétique des populations.</w:t>
            </w:r>
          </w:p>
        </w:tc>
      </w:tr>
      <w:tr w:rsidR="00CB54AD" w:rsidTr="003851B4">
        <w:tc>
          <w:tcPr>
            <w:tcW w:w="1344" w:type="dxa"/>
            <w:shd w:val="clear" w:color="auto" w:fill="92D050"/>
          </w:tcPr>
          <w:p w:rsidR="007D7993" w:rsidRPr="00A51908" w:rsidRDefault="00153594" w:rsidP="007D7993">
            <w:pPr>
              <w:rPr>
                <w:b/>
                <w:color w:val="FFFFFF" w:themeColor="background1"/>
              </w:rPr>
            </w:pP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34290</wp:posOffset>
                      </wp:positionV>
                      <wp:extent cx="2538095" cy="278130"/>
                      <wp:effectExtent l="0" t="0" r="0" b="762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09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95F" w:rsidRPr="00CD325A" w:rsidRDefault="007D695F" w:rsidP="007D695F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F4421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Figure 1.</w:t>
                                  </w:r>
                                  <w:r w:rsidRPr="003F442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325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Exemples de fleurs et fruits de </w:t>
                                  </w:r>
                                  <w:r w:rsidRPr="00CD325A">
                                    <w:rPr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Noronhia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1.2pt;margin-top:2.7pt;width:199.8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wm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OIymkzhIphiVYIvmcThx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" filled="f" stroked="f">
                      <v:textbox>
                        <w:txbxContent>
                          <w:p w:rsidR="007D695F" w:rsidRPr="00CD325A" w:rsidRDefault="007D695F" w:rsidP="007D695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44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Figure 1.</w:t>
                            </w:r>
                            <w:r w:rsidRPr="003F44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2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Exemples de fleurs et fruits de </w:t>
                            </w:r>
                            <w:r w:rsidRPr="00CD325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Noronhia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4AD">
              <w:rPr>
                <w:b/>
                <w:color w:val="FFFFFF" w:themeColor="background1"/>
              </w:rPr>
              <w:t>Figures</w:t>
            </w:r>
          </w:p>
          <w:p w:rsidR="007D7993" w:rsidRPr="00A51908" w:rsidRDefault="007D7993">
            <w:pPr>
              <w:rPr>
                <w:b/>
                <w:color w:val="FFFFFF" w:themeColor="background1"/>
              </w:rPr>
            </w:pPr>
          </w:p>
        </w:tc>
        <w:tc>
          <w:tcPr>
            <w:tcW w:w="8545" w:type="dxa"/>
          </w:tcPr>
          <w:p w:rsidR="007D7993" w:rsidRDefault="00153594">
            <w:pPr>
              <w:rPr>
                <w:sz w:val="12"/>
                <w:szCs w:val="12"/>
              </w:rPr>
            </w:pPr>
            <w:r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30480</wp:posOffset>
                      </wp:positionV>
                      <wp:extent cx="1318260" cy="1021080"/>
                      <wp:effectExtent l="0" t="0" r="0" b="762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102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95F" w:rsidRPr="00CD325A" w:rsidRDefault="007D695F" w:rsidP="007D69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325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Figure 2. </w:t>
                                  </w:r>
                                  <w:r w:rsidR="00CD325A" w:rsidRPr="00CD325A">
                                    <w:rPr>
                                      <w:sz w:val="18"/>
                                      <w:szCs w:val="18"/>
                                    </w:rPr>
                                    <w:t>Echantillonnage</w:t>
                                  </w:r>
                                  <w:r w:rsidRPr="00CD325A">
                                    <w:rPr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 w:rsidR="00CD325A" w:rsidRPr="00CD325A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D325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325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Noronhia</w:t>
                                  </w:r>
                                  <w:r w:rsidRPr="00CD325A">
                                    <w:rPr>
                                      <w:sz w:val="18"/>
                                      <w:szCs w:val="18"/>
                                    </w:rPr>
                                    <w:t xml:space="preserve"> dans la </w:t>
                                  </w:r>
                                  <w:r w:rsidR="00CD325A" w:rsidRPr="00CD325A">
                                    <w:rPr>
                                      <w:sz w:val="18"/>
                                      <w:szCs w:val="18"/>
                                    </w:rPr>
                                    <w:t>région</w:t>
                                  </w:r>
                                  <w:r w:rsidRPr="00CD325A">
                                    <w:rPr>
                                      <w:sz w:val="18"/>
                                      <w:szCs w:val="18"/>
                                    </w:rPr>
                                    <w:t xml:space="preserve"> de la Loke-Manambato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05.7pt;margin-top:2.4pt;width:103.8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Yz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" filled="f" stroked="f">
                      <v:textbox>
                        <w:txbxContent>
                          <w:p w:rsidR="007D695F" w:rsidRPr="00CD325A" w:rsidRDefault="007D695F" w:rsidP="007D6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32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Figure 2. </w:t>
                            </w:r>
                            <w:r w:rsidR="00CD325A" w:rsidRPr="00CD325A">
                              <w:rPr>
                                <w:sz w:val="18"/>
                                <w:szCs w:val="18"/>
                              </w:rPr>
                              <w:t>Echantillonnage</w:t>
                            </w:r>
                            <w:r w:rsidRPr="00CD325A">
                              <w:rPr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CD325A" w:rsidRPr="00CD325A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CD32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25A">
                              <w:rPr>
                                <w:i/>
                                <w:sz w:val="18"/>
                                <w:szCs w:val="18"/>
                              </w:rPr>
                              <w:t>Noronhia</w:t>
                            </w:r>
                            <w:r w:rsidRPr="00CD325A">
                              <w:rPr>
                                <w:sz w:val="18"/>
                                <w:szCs w:val="18"/>
                              </w:rPr>
                              <w:t xml:space="preserve"> dans la </w:t>
                            </w:r>
                            <w:r w:rsidR="00CD325A" w:rsidRPr="00CD325A">
                              <w:rPr>
                                <w:sz w:val="18"/>
                                <w:szCs w:val="18"/>
                              </w:rPr>
                              <w:t>région</w:t>
                            </w:r>
                            <w:r w:rsidRPr="00CD325A">
                              <w:rPr>
                                <w:sz w:val="18"/>
                                <w:szCs w:val="18"/>
                              </w:rPr>
                              <w:t xml:space="preserve"> de la Loke-Manambato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4AB" w:rsidRPr="000524AB">
              <w:rPr>
                <w:noProof/>
                <w:lang w:val="pt-PT" w:eastAsia="pt-PT"/>
              </w:rPr>
              <w:drawing>
                <wp:inline distT="0" distB="0" distL="0" distR="0">
                  <wp:extent cx="2581646" cy="1139258"/>
                  <wp:effectExtent l="19050" t="0" r="9154" b="0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646" cy="113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4AD">
              <w:rPr>
                <w:sz w:val="12"/>
                <w:szCs w:val="12"/>
              </w:rPr>
              <w:t xml:space="preserve">                                        </w:t>
            </w:r>
            <w:r w:rsidR="00CD325A">
              <w:rPr>
                <w:sz w:val="12"/>
                <w:szCs w:val="12"/>
              </w:rPr>
              <w:t xml:space="preserve">     </w:t>
            </w:r>
            <w:r w:rsidR="00CB54AD">
              <w:rPr>
                <w:sz w:val="12"/>
                <w:szCs w:val="12"/>
              </w:rPr>
              <w:t xml:space="preserve">                      </w:t>
            </w:r>
            <w:r w:rsidR="00F14EC3">
              <w:rPr>
                <w:noProof/>
                <w:lang w:val="pt-PT" w:eastAsia="pt-PT"/>
              </w:rPr>
              <w:drawing>
                <wp:inline distT="0" distB="0" distL="0" distR="0">
                  <wp:extent cx="1500991" cy="1500991"/>
                  <wp:effectExtent l="19050" t="0" r="3959" b="0"/>
                  <wp:docPr id="3" name="Picture 3" descr="E:\jordi\Toulouse\G_besnard\field\field_2018\noronhia_sampling_26_08_201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jordi\Toulouse\G_besnard\field\field_2018\noronhia_sampling_26_08_201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07" cy="150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25A" w:rsidRPr="00CD325A" w:rsidRDefault="00CD325A">
            <w:pPr>
              <w:rPr>
                <w:sz w:val="6"/>
                <w:szCs w:val="6"/>
              </w:rPr>
            </w:pPr>
          </w:p>
        </w:tc>
      </w:tr>
    </w:tbl>
    <w:p w:rsidR="007D7993" w:rsidRDefault="007D7993" w:rsidP="00147A2E"/>
    <w:sectPr w:rsidR="007D7993" w:rsidSect="00CB5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7A" w:rsidRDefault="0069497A" w:rsidP="0096430C">
      <w:pPr>
        <w:spacing w:after="0" w:line="240" w:lineRule="auto"/>
      </w:pPr>
      <w:r>
        <w:separator/>
      </w:r>
    </w:p>
  </w:endnote>
  <w:endnote w:type="continuationSeparator" w:id="0">
    <w:p w:rsidR="0069497A" w:rsidRDefault="0069497A" w:rsidP="0096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94" w:rsidRDefault="00153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94" w:rsidRDefault="00153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94" w:rsidRDefault="00153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7A" w:rsidRDefault="0069497A" w:rsidP="0096430C">
      <w:pPr>
        <w:spacing w:after="0" w:line="240" w:lineRule="auto"/>
      </w:pPr>
      <w:r>
        <w:separator/>
      </w:r>
    </w:p>
  </w:footnote>
  <w:footnote w:type="continuationSeparator" w:id="0">
    <w:p w:rsidR="0069497A" w:rsidRDefault="0069497A" w:rsidP="0096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94" w:rsidRDefault="00153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AD" w:rsidRDefault="00CB54AD" w:rsidP="00CB54AD">
    <w:pPr>
      <w:pStyle w:val="Header"/>
      <w:jc w:val="right"/>
      <w:rPr>
        <w:b/>
      </w:rPr>
    </w:pPr>
    <w:r>
      <w:rPr>
        <w:b/>
        <w:sz w:val="28"/>
      </w:rPr>
      <w:t xml:space="preserve">Proposition d’un sujet de stage </w:t>
    </w:r>
    <w:r w:rsidR="00153594">
      <w:rPr>
        <w:b/>
        <w:sz w:val="28"/>
      </w:rPr>
      <w:t>de</w:t>
    </w:r>
    <w:r>
      <w:rPr>
        <w:b/>
        <w:sz w:val="28"/>
      </w:rPr>
      <w:t xml:space="preserve"> M2 </w:t>
    </w:r>
    <w:bookmarkStart w:id="0" w:name="_GoBack"/>
    <w:bookmarkEnd w:id="0"/>
    <w:r>
      <w:rPr>
        <w:b/>
        <w:sz w:val="28"/>
      </w:rPr>
      <w:t xml:space="preserve">(2018-2019) </w:t>
    </w:r>
  </w:p>
  <w:p w:rsidR="0096430C" w:rsidRPr="00A51908" w:rsidRDefault="0096430C" w:rsidP="00A51908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94" w:rsidRDefault="00153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yNDa0NAMxlHSUglOLizPz80AKjGoBBMxQ2CwAAAA="/>
  </w:docVars>
  <w:rsids>
    <w:rsidRoot w:val="0096430C"/>
    <w:rsid w:val="00045D89"/>
    <w:rsid w:val="000524AB"/>
    <w:rsid w:val="0008218D"/>
    <w:rsid w:val="00147A2E"/>
    <w:rsid w:val="00153594"/>
    <w:rsid w:val="00194B14"/>
    <w:rsid w:val="001F4846"/>
    <w:rsid w:val="00262CBC"/>
    <w:rsid w:val="003521EB"/>
    <w:rsid w:val="003612B8"/>
    <w:rsid w:val="003646DD"/>
    <w:rsid w:val="003851B4"/>
    <w:rsid w:val="003F4421"/>
    <w:rsid w:val="00475A7C"/>
    <w:rsid w:val="0048292F"/>
    <w:rsid w:val="0053098A"/>
    <w:rsid w:val="00572FCA"/>
    <w:rsid w:val="005A72B1"/>
    <w:rsid w:val="005C59E5"/>
    <w:rsid w:val="006315DC"/>
    <w:rsid w:val="0069497A"/>
    <w:rsid w:val="006B0D68"/>
    <w:rsid w:val="006F678E"/>
    <w:rsid w:val="007003AF"/>
    <w:rsid w:val="00722D06"/>
    <w:rsid w:val="007B5C3E"/>
    <w:rsid w:val="007D695F"/>
    <w:rsid w:val="007D7993"/>
    <w:rsid w:val="00901522"/>
    <w:rsid w:val="00926C7A"/>
    <w:rsid w:val="00951336"/>
    <w:rsid w:val="00951622"/>
    <w:rsid w:val="0096430C"/>
    <w:rsid w:val="00A51908"/>
    <w:rsid w:val="00AF1DE3"/>
    <w:rsid w:val="00AF5B13"/>
    <w:rsid w:val="00B00FBE"/>
    <w:rsid w:val="00C052D4"/>
    <w:rsid w:val="00C12796"/>
    <w:rsid w:val="00C63ACD"/>
    <w:rsid w:val="00CA03D3"/>
    <w:rsid w:val="00CB54AD"/>
    <w:rsid w:val="00CD325A"/>
    <w:rsid w:val="00D34B52"/>
    <w:rsid w:val="00D4063A"/>
    <w:rsid w:val="00D50D8D"/>
    <w:rsid w:val="00D5486D"/>
    <w:rsid w:val="00DA6AFF"/>
    <w:rsid w:val="00DC2C2F"/>
    <w:rsid w:val="00E803C8"/>
    <w:rsid w:val="00ED1E27"/>
    <w:rsid w:val="00ED3154"/>
    <w:rsid w:val="00EE724C"/>
    <w:rsid w:val="00F14EC3"/>
    <w:rsid w:val="00F1689E"/>
    <w:rsid w:val="00F220F5"/>
    <w:rsid w:val="00F66785"/>
    <w:rsid w:val="00FB24E1"/>
    <w:rsid w:val="00FB60D0"/>
    <w:rsid w:val="00FC5435"/>
    <w:rsid w:val="00FE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3765E-BC16-4D34-BBD3-D9F3A90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30C"/>
  </w:style>
  <w:style w:type="paragraph" w:styleId="Footer">
    <w:name w:val="footer"/>
    <w:basedOn w:val="Normal"/>
    <w:link w:val="FooterChar"/>
    <w:uiPriority w:val="99"/>
    <w:unhideWhenUsed/>
    <w:rsid w:val="0096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30C"/>
  </w:style>
  <w:style w:type="table" w:styleId="TableGrid">
    <w:name w:val="Table Grid"/>
    <w:basedOn w:val="TableNormal"/>
    <w:uiPriority w:val="39"/>
    <w:rsid w:val="007D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jordi.salmon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uillaume.besnard@univ-tlse3.f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Proposition d’un sujet de stage au M2 ADAM (2017-2018)</vt:lpstr>
      <vt:lpstr>Proposition d’un sujet de stage au M2 ADAM (2017-2018)</vt:lpstr>
    </vt:vector>
  </TitlesOfParts>
  <Company>Hewlett-Packard Company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d’un sujet de stage au M2 ADAM (2017-2018)</dc:title>
  <dc:creator>C J</dc:creator>
  <cp:lastModifiedBy>anonymous</cp:lastModifiedBy>
  <cp:revision>2</cp:revision>
  <dcterms:created xsi:type="dcterms:W3CDTF">2018-09-19T09:10:00Z</dcterms:created>
  <dcterms:modified xsi:type="dcterms:W3CDTF">2018-09-19T09:10:00Z</dcterms:modified>
</cp:coreProperties>
</file>